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rsidTr="004E1CCA">
        <w:tc>
          <w:tcPr>
            <w:tcW w:w="3085" w:type="dxa"/>
          </w:tcPr>
          <w:p w:rsidR="004E1CCA" w:rsidRDefault="004E1CCA" w:rsidP="004E1CCA">
            <w:pPr>
              <w:jc w:val="center"/>
            </w:pPr>
            <w:bookmarkStart w:id="0" w:name="_GoBack"/>
            <w:bookmarkEnd w:id="0"/>
            <w:r>
              <w:t>ΥΠ.Π.Ε.Θ</w:t>
            </w:r>
          </w:p>
          <w:p w:rsidR="004E1CCA" w:rsidRDefault="00815449" w:rsidP="004E1CCA">
            <w:pPr>
              <w:jc w:val="center"/>
            </w:pPr>
            <w:r>
              <w:t>Ε</w:t>
            </w:r>
            <w:r w:rsidR="004E1CCA">
              <w:t>.Ε.Π.Π.Σ.</w:t>
            </w:r>
          </w:p>
          <w:p w:rsidR="004E1CCA" w:rsidRDefault="004E1CCA" w:rsidP="004E1CCA">
            <w:pPr>
              <w:jc w:val="center"/>
            </w:pPr>
          </w:p>
        </w:tc>
      </w:tr>
    </w:tbl>
    <w:p w:rsidR="005371DD" w:rsidRDefault="005371DD" w:rsidP="00376BAD">
      <w:pPr>
        <w:jc w:val="both"/>
      </w:pPr>
      <w:r>
        <w:t>Αγαπητοί διευθυντές/διευθύντριες, προϊσταμένοι/προϊσταμένες,</w:t>
      </w:r>
    </w:p>
    <w:p w:rsidR="005371DD" w:rsidRDefault="005371DD" w:rsidP="00376BAD">
      <w:pPr>
        <w:jc w:val="both"/>
      </w:pPr>
      <w:r>
        <w:t>Αγαπητοί εκπαιδευτικοί των πειραματικών και πρότυπων σχολείων,</w:t>
      </w:r>
    </w:p>
    <w:p w:rsidR="00376BAD" w:rsidRDefault="005371DD" w:rsidP="00376BAD">
      <w:pPr>
        <w:jc w:val="both"/>
      </w:pPr>
      <w:r>
        <w:t xml:space="preserve">Σας προσκαλούμε να καταγράψετε </w:t>
      </w:r>
      <w:r w:rsidRPr="001754CA">
        <w:rPr>
          <w:b/>
        </w:rPr>
        <w:t>επιλεγμένες δράσεις</w:t>
      </w:r>
      <w:r>
        <w:t xml:space="preserve"> της </w:t>
      </w:r>
      <w:r w:rsidR="00B345B1">
        <w:t>σχολικής</w:t>
      </w:r>
      <w:r>
        <w:t xml:space="preserve"> χρονιάς 2018-2019 μέχρι το τέλος του σχολικού έτους και να τις αποστείλετε στην Ε.Ε.Π.Π.Σ. (</w:t>
      </w:r>
      <w:hyperlink r:id="rId6" w:history="1">
        <w:r w:rsidRPr="00D244C6">
          <w:rPr>
            <w:rStyle w:val="-"/>
          </w:rPr>
          <w:t>depps@minedu.gov.gr</w:t>
        </w:r>
      </w:hyperlink>
      <w:r>
        <w:t xml:space="preserve">).  </w:t>
      </w:r>
      <w:r w:rsidR="00376BAD">
        <w:t>Σκοπός της καταγραφής των δράσεων των πειραματικών και πρότυπων σχολείων είναι η δημιουργία μιας τράπεζας</w:t>
      </w:r>
      <w:r>
        <w:t xml:space="preserve">/πλατφόρμας </w:t>
      </w:r>
      <w:r w:rsidR="00376BAD">
        <w:t xml:space="preserve"> πειραματικών δράσεων από την οποία μπορούν να αντλούν ιδέες και πληροφορίες </w:t>
      </w:r>
      <w:r>
        <w:t xml:space="preserve">οι εκπαιδευτικοί </w:t>
      </w:r>
      <w:r w:rsidR="00376BAD">
        <w:t>όλ</w:t>
      </w:r>
      <w:r>
        <w:t>ων</w:t>
      </w:r>
      <w:r w:rsidR="00376BAD">
        <w:t xml:space="preserve"> τα σχολεί</w:t>
      </w:r>
      <w:r>
        <w:t>ων</w:t>
      </w:r>
      <w:r w:rsidR="00376BAD">
        <w:t xml:space="preserve"> της χώρας.   Παρακαλούμε να επιλέξετε τις δράσεις που θέλετε να περιγράψετε </w:t>
      </w:r>
      <w:r>
        <w:t xml:space="preserve">και να καταθέσετε ηλεκτρονικά στην Ε.Ε.Π.Π.Σ. </w:t>
      </w:r>
      <w:r w:rsidR="00376BAD">
        <w:t xml:space="preserve"> Είναι ιδιαίτερα σημαντικό να περιγραφεί και η διαδικασία διερεύνησης/τεκμηρίωσης</w:t>
      </w:r>
      <w:r w:rsidR="001754CA">
        <w:t xml:space="preserve"> (εφόσον υπήρξε)</w:t>
      </w:r>
      <w:r w:rsidR="00376BAD">
        <w:t>, πότε  προέκυψε (π.χ. πριν το σχεδιασμό των εκπαιδευτικών πρακτικών ως διερεύνηση του ζητήματος ή αρχική αποτίμηση,   ή/και κατά τη διάρκεια της υλοποίησης ως διαμορφωτική αποτίμηση,  ή/και  στο τέλος της εκπαιδευτικής παρέμβασης ως τελική αποτίμηση)</w:t>
      </w:r>
      <w:r>
        <w:t xml:space="preserve"> και ποιες μέθοδοι χρησιμοποιήθηκαν</w:t>
      </w:r>
      <w:r w:rsidR="00376BAD">
        <w:t>.</w:t>
      </w:r>
    </w:p>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667B67" w:rsidRDefault="00667B67" w:rsidP="00072A2D">
            <w:pPr>
              <w:spacing w:before="60" w:after="60"/>
            </w:pPr>
            <w:r w:rsidRPr="00667B67">
              <w:t>2</w:t>
            </w:r>
            <w:r>
              <w:rPr>
                <w:lang w:val="en-US"/>
              </w:rPr>
              <w:t>o</w:t>
            </w:r>
            <w:r w:rsidRPr="00667B67">
              <w:t xml:space="preserve"> </w:t>
            </w:r>
            <w:r>
              <w:t>Πειραματικό Γενικό Λύκειο Αθηνών</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DD1917" w:rsidRDefault="00DD1917" w:rsidP="00DD1917">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DD1917" w:rsidRDefault="00DD1917" w:rsidP="00DD1917">
            <w:pPr>
              <w:spacing w:after="120" w:line="360" w:lineRule="auto"/>
              <w:ind w:left="567" w:hanging="567"/>
              <w:jc w:val="both"/>
              <w:rPr>
                <w:szCs w:val="24"/>
              </w:rPr>
            </w:pPr>
            <w:r>
              <w:t xml:space="preserve">Δημοσίευση στο </w:t>
            </w:r>
            <w:r>
              <w:rPr>
                <w:i/>
                <w:szCs w:val="24"/>
              </w:rPr>
              <w:t xml:space="preserve">Πανελλήνιο Συνέδριο: «Η Δημιουργικότητα και η Καινοτομία στην Εκπαιδευτική Πράξη με αφετηρία τη μακρόχρονη εμπειρία των Πειραματικών και Πρότυπων Σχολείων». </w:t>
            </w:r>
            <w:r w:rsidRPr="00DD1917">
              <w:rPr>
                <w:b/>
                <w:szCs w:val="24"/>
              </w:rPr>
              <w:t>Αθήνα, 2-4 Νοεμβρίου 2018</w:t>
            </w:r>
            <w:r>
              <w:rPr>
                <w:szCs w:val="24"/>
              </w:rPr>
              <w:t>.</w:t>
            </w:r>
          </w:p>
          <w:p w:rsidR="004743AD" w:rsidRDefault="004743AD" w:rsidP="00DD1917">
            <w:pPr>
              <w:spacing w:after="120" w:line="360" w:lineRule="auto"/>
              <w:ind w:left="567" w:hanging="567"/>
              <w:jc w:val="both"/>
              <w:rPr>
                <w:szCs w:val="24"/>
              </w:rPr>
            </w:pPr>
          </w:p>
          <w:p w:rsidR="004743AD" w:rsidRDefault="004743AD" w:rsidP="004743AD">
            <w:pPr>
              <w:spacing w:after="120" w:line="360" w:lineRule="auto"/>
              <w:ind w:left="34" w:hanging="34"/>
              <w:jc w:val="both"/>
              <w:rPr>
                <w:szCs w:val="24"/>
              </w:rPr>
            </w:pPr>
            <w:r>
              <w:rPr>
                <w:szCs w:val="24"/>
              </w:rPr>
              <w:t xml:space="preserve">Τρυπηνιώτου, Α., Παπανικολάου, Κ. &amp; </w:t>
            </w:r>
            <w:r w:rsidRPr="002B4FF4">
              <w:rPr>
                <w:b/>
                <w:szCs w:val="24"/>
              </w:rPr>
              <w:t>Γασπαρινάτου, Α.</w:t>
            </w:r>
            <w:r>
              <w:rPr>
                <w:szCs w:val="24"/>
              </w:rPr>
              <w:t xml:space="preserve"> (2018). «Η περίπτωση της Αντεστραμμένης  Τάξης στη Διδασκαλία Μονοδιάστατων Πινάκων». </w:t>
            </w:r>
            <w:r>
              <w:rPr>
                <w:i/>
                <w:szCs w:val="24"/>
              </w:rPr>
              <w:t xml:space="preserve">Πανελλήνιο Συνέδριο: «Η Δημιουργικότητα και η Καινοτομία στην Εκπαιδευτική Πράξη με αφετηρία τη μακρόχρονη εμπειρία των Πειραματικών και Πρότυπων Σχολείων». </w:t>
            </w:r>
            <w:r>
              <w:rPr>
                <w:szCs w:val="24"/>
              </w:rPr>
              <w:t>Αθήνα, 2-4 Νοεμβρίου 2018.</w:t>
            </w:r>
          </w:p>
          <w:p w:rsidR="004E1CCA" w:rsidRPr="004743AD" w:rsidRDefault="004743AD" w:rsidP="004743AD">
            <w:pPr>
              <w:spacing w:after="120"/>
              <w:ind w:left="142" w:hanging="142"/>
              <w:jc w:val="both"/>
              <w:rPr>
                <w:szCs w:val="24"/>
              </w:rPr>
            </w:pPr>
            <w:r>
              <w:rPr>
                <w:szCs w:val="24"/>
              </w:rPr>
              <w:t>(Σε συνεργασία με την ΑΣΠΑΙΤΕ)</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667B67" w:rsidP="00072A2D">
            <w:pPr>
              <w:spacing w:before="60" w:after="60"/>
            </w:pPr>
            <w:r>
              <w:rPr>
                <w:szCs w:val="24"/>
              </w:rPr>
              <w:t>«Η περίπτωση της Αντεστραμμένης  Τάξης στη Διδασκαλία Μονοδιάστατων Πινάκων»</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667B67" w:rsidP="00072A2D">
            <w:pPr>
              <w:spacing w:before="60" w:after="60"/>
            </w:pPr>
            <w:r>
              <w:t>3 εβδομάδες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667B67" w:rsidP="00072A2D">
            <w:pPr>
              <w:spacing w:before="60" w:after="60"/>
            </w:pPr>
            <w:r>
              <w:t>Αλεξάνδρα-Άννα Γασπαρινάτου</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667B67" w:rsidP="00072A2D">
            <w:pPr>
              <w:spacing w:before="60" w:after="60"/>
            </w:pPr>
            <w:r>
              <w:t xml:space="preserve">Πληροφορικής </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667B67" w:rsidP="00072A2D">
            <w:pPr>
              <w:spacing w:before="60" w:after="60"/>
            </w:pPr>
            <w:r>
              <w:t xml:space="preserve">Αγγέλα Τρυπηνιώτου </w:t>
            </w:r>
            <w:r w:rsidR="00DD1917">
              <w:t xml:space="preserve"> (</w:t>
            </w:r>
            <w:r w:rsidR="00CE6DB9">
              <w:t xml:space="preserve">μεταπτυχιακή </w:t>
            </w:r>
            <w:r w:rsidR="00DD1917">
              <w:t>φοιτήτρια ΑΣΠΑΙΤΕ)</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DD1917" w:rsidP="00072A2D">
            <w:pPr>
              <w:spacing w:before="60" w:after="60"/>
            </w:pPr>
            <w:r>
              <w:t>Πληροφορικής</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DD1917" w:rsidP="00072A2D">
            <w:pPr>
              <w:spacing w:before="60" w:after="60"/>
            </w:pPr>
            <w:r>
              <w:t>Κυπαρισσία Παπανικολάου (μέλος ΔΕΠ</w:t>
            </w:r>
            <w:r w:rsidR="00CE6DB9">
              <w:t xml:space="preserve">  ΑΣΠΑΙΤΕ</w:t>
            </w:r>
            <w:r>
              <w:t>)</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DD1917" w:rsidP="00072A2D">
            <w:pPr>
              <w:spacing w:before="60" w:after="60"/>
            </w:pPr>
            <w:r>
              <w:t>Εκπαιδευτική Τεχνολογία</w:t>
            </w: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r w:rsidR="00DD1917">
              <w:t xml:space="preserve"> Ιανουάριος</w:t>
            </w:r>
          </w:p>
        </w:tc>
        <w:tc>
          <w:tcPr>
            <w:tcW w:w="992" w:type="dxa"/>
          </w:tcPr>
          <w:p w:rsidR="00072A2D" w:rsidRDefault="00072A2D" w:rsidP="00072A2D">
            <w:pPr>
              <w:spacing w:before="60" w:after="60"/>
            </w:pP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DD1917" w:rsidP="00072A2D">
            <w:pPr>
              <w:spacing w:before="60" w:after="60"/>
            </w:pPr>
            <w:r>
              <w:t>4 τμήματα της Γ’ Λυκείου Θετικής Κατεύθυνσης</w:t>
            </w:r>
          </w:p>
          <w:p w:rsidR="00DD1917" w:rsidRDefault="00DD1917" w:rsidP="00072A2D">
            <w:pPr>
              <w:spacing w:before="60" w:after="60"/>
            </w:pPr>
          </w:p>
          <w:p w:rsidR="00DD1917" w:rsidRDefault="00DD1917" w:rsidP="00072A2D">
            <w:pPr>
              <w:spacing w:before="60" w:after="60"/>
            </w:pPr>
            <w:r>
              <w:t>(Γ2α, Γ2β, Γ2γ, Γ2δ)</w:t>
            </w:r>
          </w:p>
        </w:tc>
      </w:tr>
      <w:tr w:rsidR="00072A2D" w:rsidTr="00072A2D">
        <w:tc>
          <w:tcPr>
            <w:tcW w:w="2802" w:type="dxa"/>
            <w:gridSpan w:val="7"/>
          </w:tcPr>
          <w:p w:rsidR="00072A2D" w:rsidRDefault="00072A2D" w:rsidP="00072A2D">
            <w:pPr>
              <w:spacing w:before="60" w:after="60"/>
            </w:pPr>
            <w:r>
              <w:lastRenderedPageBreak/>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CE6DB9"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CE6DB9" w:rsidP="00072A2D">
            <w:pPr>
              <w:spacing w:before="60" w:after="60"/>
            </w:pPr>
            <w:r>
              <w:t>80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B70D3C" w:rsidP="00072A2D">
            <w:pPr>
              <w:spacing w:before="60" w:after="60"/>
            </w:pPr>
            <w:r>
              <w:rPr>
                <w:szCs w:val="24"/>
              </w:rPr>
              <w:t xml:space="preserve">Η μελέτη της  εφαρμογής </w:t>
            </w:r>
            <w:r w:rsidRPr="00392B81">
              <w:rPr>
                <w:szCs w:val="24"/>
              </w:rPr>
              <w:t xml:space="preserve"> του μοντέλου της "Αντεστραμμένης τάξης" στη σχολική τάξη. Γνωστικό αντικείμενο ήταν το μάθημα των </w:t>
            </w:r>
            <w:r w:rsidRPr="00B269F1">
              <w:rPr>
                <w:b/>
                <w:szCs w:val="24"/>
              </w:rPr>
              <w:t xml:space="preserve">Μονοδιάστατων πινάκων του μαθήματος "Ανάπτυξη Εφαρμογών σε Προγραμματιστικό περιβάλλον" της Γ' τάξης </w:t>
            </w:r>
            <w:r>
              <w:rPr>
                <w:b/>
                <w:szCs w:val="24"/>
              </w:rPr>
              <w:t xml:space="preserve">Γενικού </w:t>
            </w:r>
            <w:r w:rsidRPr="00B269F1">
              <w:rPr>
                <w:b/>
                <w:szCs w:val="24"/>
              </w:rPr>
              <w:t>Ενιαίου Λυκείου Θετικής κατεύθυνσης</w:t>
            </w:r>
          </w:p>
        </w:tc>
      </w:tr>
      <w:tr w:rsidR="00072A2D" w:rsidRPr="006C207D" w:rsidTr="00072A2D">
        <w:tc>
          <w:tcPr>
            <w:tcW w:w="10422" w:type="dxa"/>
            <w:gridSpan w:val="19"/>
          </w:tcPr>
          <w:p w:rsidR="006C207D" w:rsidRDefault="00072A2D" w:rsidP="006C207D">
            <w:r>
              <w:t>ΣΥΝΤΟΜΗ</w:t>
            </w:r>
            <w:r w:rsidRPr="006C207D">
              <w:rPr>
                <w:lang w:val="en-US"/>
              </w:rPr>
              <w:t xml:space="preserve"> </w:t>
            </w:r>
            <w:r>
              <w:t>ΠΕΡΙΓΡΑΦΗ</w:t>
            </w:r>
            <w:r w:rsidRPr="006C207D">
              <w:rPr>
                <w:lang w:val="en-US"/>
              </w:rPr>
              <w:t xml:space="preserve"> </w:t>
            </w:r>
            <w:r>
              <w:t>ΥΛΟΠΟΙΗΣΗΣ</w:t>
            </w:r>
            <w:r w:rsidRPr="006C207D">
              <w:rPr>
                <w:lang w:val="en-US"/>
              </w:rPr>
              <w:t xml:space="preserve"> (</w:t>
            </w:r>
            <w:r w:rsidR="00376BAD" w:rsidRPr="006C207D">
              <w:rPr>
                <w:lang w:val="en-US"/>
              </w:rPr>
              <w:t xml:space="preserve">200-300 </w:t>
            </w:r>
            <w:r>
              <w:t>λέξεις</w:t>
            </w:r>
            <w:r w:rsidRPr="006C207D">
              <w:rPr>
                <w:lang w:val="en-US"/>
              </w:rPr>
              <w:t>)</w:t>
            </w:r>
            <w:r w:rsidR="006C207D" w:rsidRPr="006C207D">
              <w:rPr>
                <w:lang w:val="en-US"/>
              </w:rPr>
              <w:t xml:space="preserve"> </w:t>
            </w:r>
          </w:p>
          <w:p w:rsidR="006C207D" w:rsidRDefault="006C207D" w:rsidP="006C207D"/>
          <w:p w:rsidR="006C207D" w:rsidRDefault="008904B5" w:rsidP="008904B5">
            <w:pPr>
              <w:jc w:val="both"/>
            </w:pPr>
            <w:r>
              <w:t>Σε αυτή την εργασία διερευνήθηκε  η εφαρμογή του μοντέλου της «αντεστραμμένης τάξης» στη διδασκαλία του μαθήματος «Ανάπτυξη Εφαρμογών σε Προγραμματιστικό Περιβάλλον» που διδάσκεται στην Γ’ τάξη του Γενικού Λυκείου. Στην έρευνα συμμετείχαν 80 μαθητές από τα τέσσερα τμήματα Θετικής Κατεύθυνσης του 2</w:t>
            </w:r>
            <w:r w:rsidRPr="008904B5">
              <w:rPr>
                <w:vertAlign w:val="superscript"/>
              </w:rPr>
              <w:t>ου</w:t>
            </w:r>
            <w:r>
              <w:t xml:space="preserve"> Πειραματικού Γενικού Λυκείου. Οι μαθητές  χωρίστηκαν σε δύο ομάδες: (α) την πειραματική και (β) την ομάδα ελέγχου. Στην πειραματική ομάδα εφαρμόστηκε το μοντέλο αντεστραμμένης τάξης και στην ομάδα ελέγχου εφαρμόστηκε η συμβατική μέθοδος διδασκαλίας.  Οι</w:t>
            </w:r>
            <w:r w:rsidRPr="008904B5">
              <w:rPr>
                <w:lang w:val="en-US"/>
              </w:rPr>
              <w:t xml:space="preserve"> </w:t>
            </w:r>
            <w:r>
              <w:t>μαθητές</w:t>
            </w:r>
            <w:r w:rsidRPr="008904B5">
              <w:rPr>
                <w:lang w:val="en-US"/>
              </w:rPr>
              <w:t xml:space="preserve"> </w:t>
            </w:r>
            <w:r>
              <w:t>διδάχθηκαν</w:t>
            </w:r>
            <w:r w:rsidRPr="008904B5">
              <w:rPr>
                <w:lang w:val="en-US"/>
              </w:rPr>
              <w:t xml:space="preserve"> </w:t>
            </w:r>
            <w:r>
              <w:t>τη</w:t>
            </w:r>
            <w:r w:rsidRPr="008904B5">
              <w:rPr>
                <w:lang w:val="en-US"/>
              </w:rPr>
              <w:t xml:space="preserve"> </w:t>
            </w:r>
            <w:r>
              <w:t>θεματική</w:t>
            </w:r>
            <w:r w:rsidRPr="008904B5">
              <w:rPr>
                <w:lang w:val="en-US"/>
              </w:rPr>
              <w:t xml:space="preserve"> </w:t>
            </w:r>
            <w:r>
              <w:t>ενότητα</w:t>
            </w:r>
            <w:r w:rsidRPr="008904B5">
              <w:rPr>
                <w:lang w:val="en-US"/>
              </w:rPr>
              <w:t xml:space="preserve"> </w:t>
            </w:r>
            <w:r>
              <w:t>των</w:t>
            </w:r>
            <w:r w:rsidRPr="008904B5">
              <w:rPr>
                <w:lang w:val="en-US"/>
              </w:rPr>
              <w:t xml:space="preserve"> </w:t>
            </w:r>
            <w:r>
              <w:t>Μονοδιάστατων</w:t>
            </w:r>
            <w:r w:rsidRPr="008904B5">
              <w:rPr>
                <w:lang w:val="en-US"/>
              </w:rPr>
              <w:t xml:space="preserve"> </w:t>
            </w:r>
            <w:r>
              <w:t>Πινάκων</w:t>
            </w:r>
            <w:r w:rsidRPr="008904B5">
              <w:rPr>
                <w:lang w:val="en-US"/>
              </w:rPr>
              <w:t>.</w:t>
            </w:r>
          </w:p>
          <w:p w:rsidR="008904B5" w:rsidRPr="004743AD" w:rsidRDefault="008904B5" w:rsidP="008904B5">
            <w:pPr>
              <w:jc w:val="both"/>
            </w:pPr>
            <w:r>
              <w:t xml:space="preserve">Σχεδιάστηκε και αναπτύχθηκε ψηφιακό εκπαιδευτικό υλικό το οποίο αναρτήθηκε </w:t>
            </w:r>
            <w:r w:rsidR="004743AD">
              <w:t xml:space="preserve">στο διαδικτυακό περιβάλλον μάθησης </w:t>
            </w:r>
            <w:r w:rsidR="004743AD">
              <w:rPr>
                <w:lang w:val="en-US"/>
              </w:rPr>
              <w:t>Moodle</w:t>
            </w:r>
            <w:r w:rsidR="004743AD" w:rsidRPr="004743AD">
              <w:t xml:space="preserve">. </w:t>
            </w:r>
          </w:p>
          <w:p w:rsidR="004743AD" w:rsidRDefault="004743AD" w:rsidP="008904B5">
            <w:pPr>
              <w:jc w:val="both"/>
            </w:pPr>
            <w:r>
              <w:t xml:space="preserve">Στα εργαλεία της έρευνας περιλαμβάνονται : (1) </w:t>
            </w:r>
            <w:r w:rsidR="000A165B">
              <w:t xml:space="preserve">δραστηριότητα επίλυσης προβλήματος η οποία δόθηκε στους μαθητές τόσο πριν όσο και μετά την εκπαιδευτική δράση, (2) ένα ερωτηματολόγιο το οποίο περιελάμβανε ερωτήσεις κλειστού και ανοιχτού τύπου με στόχο τη διερεύνηση των απόψεων και των στάσεων των μαθητών σχετικά με το μοντέλο </w:t>
            </w:r>
            <w:r w:rsidR="00051E3F">
              <w:t>της «αντεστραμμένης τάξης».</w:t>
            </w:r>
          </w:p>
          <w:p w:rsidR="00051E3F" w:rsidRDefault="00051E3F" w:rsidP="008904B5">
            <w:pPr>
              <w:jc w:val="both"/>
            </w:pPr>
            <w:r>
              <w:t>Δεδομένα συλλέχτηκαν από: (α) τη διόρθωση των δραστηριοτήτων που εκπονήθηκαν από τους μαθητές, (β) τις απαντήσεις των μαθητών στο ερωτηματολόγιο</w:t>
            </w:r>
            <w:r w:rsidR="00DA33BF">
              <w:t>, (γ) από την παρατήρηση των εκπαιδευτικών μέσα στην τάξη.</w:t>
            </w:r>
          </w:p>
          <w:p w:rsidR="00DA33BF" w:rsidRDefault="00481741" w:rsidP="008904B5">
            <w:pPr>
              <w:jc w:val="both"/>
            </w:pPr>
            <w:r>
              <w:t>Πραγματοποιήθηκε ποσοτική και ποιοτική ανάλυση των δεδομένων.</w:t>
            </w:r>
          </w:p>
          <w:p w:rsidR="00481741" w:rsidRPr="004743AD" w:rsidRDefault="00481741" w:rsidP="008904B5">
            <w:pPr>
              <w:jc w:val="both"/>
            </w:pPr>
            <w:r>
              <w:t xml:space="preserve">Τα αποτελέσματα έδειξαν ότι οι μαθητές στο σύνολό τους </w:t>
            </w:r>
            <w:r w:rsidR="00B83AC8">
              <w:t>είχαν</w:t>
            </w:r>
            <w:r>
              <w:t xml:space="preserve"> θετικές στάσεις και αντιλήψεις απέναντι στο μοντέλο της αντεστραμμένης τάξης. Παρόλο που τα ποσοτικά δεδομένα δεν έδειξαν στατιστικά σημαντική διαφορά, τα ποιοτικά δεδομένα έδειξαν ότι η πειραματική ομάδα είχε μεγαλύτερη βελτίωση στη διαχείριση των παρανοήσεων.</w:t>
            </w:r>
          </w:p>
          <w:p w:rsidR="00072A2D" w:rsidRPr="00B83AC8" w:rsidRDefault="00072A2D" w:rsidP="00481741"/>
        </w:tc>
      </w:tr>
      <w:tr w:rsidR="00815449" w:rsidRPr="006C207D" w:rsidTr="00072A2D">
        <w:tc>
          <w:tcPr>
            <w:tcW w:w="10422" w:type="dxa"/>
            <w:gridSpan w:val="19"/>
          </w:tcPr>
          <w:p w:rsidR="00815449" w:rsidRPr="006C207D" w:rsidRDefault="00815449" w:rsidP="00072A2D">
            <w:pPr>
              <w:spacing w:before="60" w:after="60"/>
              <w:rPr>
                <w:lang w:val="en-US"/>
              </w:rPr>
            </w:pPr>
          </w:p>
          <w:p w:rsidR="00815449" w:rsidRPr="006C207D" w:rsidRDefault="00815449" w:rsidP="00072A2D">
            <w:pPr>
              <w:spacing w:before="60" w:after="60"/>
              <w:rPr>
                <w:lang w:val="en-US"/>
              </w:rPr>
            </w:pPr>
          </w:p>
        </w:tc>
      </w:tr>
      <w:tr w:rsidR="00072A2D" w:rsidRPr="006C207D" w:rsidTr="00072A2D">
        <w:tc>
          <w:tcPr>
            <w:tcW w:w="10422" w:type="dxa"/>
            <w:gridSpan w:val="19"/>
          </w:tcPr>
          <w:p w:rsidR="00072A2D" w:rsidRPr="006C207D" w:rsidRDefault="00072A2D" w:rsidP="00072A2D">
            <w:pPr>
              <w:spacing w:before="60" w:after="60"/>
              <w:rPr>
                <w:lang w:val="en-US"/>
              </w:rPr>
            </w:pPr>
          </w:p>
          <w:p w:rsidR="00072A2D" w:rsidRPr="006C207D" w:rsidRDefault="00072A2D" w:rsidP="00072A2D">
            <w:pPr>
              <w:spacing w:before="60" w:after="60"/>
              <w:rPr>
                <w:lang w:val="en-US"/>
              </w:rPr>
            </w:pPr>
          </w:p>
          <w:p w:rsidR="00072A2D" w:rsidRPr="006C207D" w:rsidRDefault="00072A2D" w:rsidP="00072A2D">
            <w:pPr>
              <w:spacing w:before="60" w:after="60"/>
              <w:rPr>
                <w:lang w:val="en-US"/>
              </w:rPr>
            </w:pPr>
          </w:p>
          <w:p w:rsidR="00072A2D" w:rsidRPr="006C207D" w:rsidRDefault="00072A2D" w:rsidP="00072A2D">
            <w:pPr>
              <w:spacing w:before="60" w:after="60"/>
              <w:rPr>
                <w:lang w:val="en-US"/>
              </w:rPr>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FD7A3D" w:rsidRPr="00FD7A3D" w:rsidRDefault="00FD7A3D" w:rsidP="00FD7A3D">
            <w:pPr>
              <w:pStyle w:val="10"/>
              <w:jc w:val="both"/>
              <w:rPr>
                <w:rStyle w:val="1"/>
                <w:rFonts w:asciiTheme="minorHAnsi" w:hAnsiTheme="minorHAnsi"/>
                <w:sz w:val="24"/>
                <w:lang w:bidi="he-IL"/>
              </w:rPr>
            </w:pPr>
            <w:r w:rsidRPr="00FD7A3D">
              <w:rPr>
                <w:rStyle w:val="1"/>
                <w:rFonts w:asciiTheme="minorHAnsi" w:hAnsiTheme="minorHAnsi"/>
                <w:sz w:val="24"/>
              </w:rPr>
              <w:t xml:space="preserve">Σύμφωνα με τα αποτελέσματα των μαθητών στη </w:t>
            </w:r>
            <w:r w:rsidRPr="00FD7A3D">
              <w:rPr>
                <w:rStyle w:val="1"/>
                <w:rFonts w:asciiTheme="minorHAnsi" w:hAnsiTheme="minorHAnsi"/>
                <w:bCs/>
                <w:i/>
                <w:sz w:val="24"/>
                <w:szCs w:val="18"/>
              </w:rPr>
              <w:t xml:space="preserve">Δραστηριότητα Ανίχνευσης Γνώσης </w:t>
            </w:r>
            <w:r w:rsidRPr="00FD7A3D">
              <w:rPr>
                <w:rStyle w:val="1"/>
                <w:rFonts w:asciiTheme="minorHAnsi" w:hAnsiTheme="minorHAnsi"/>
                <w:sz w:val="24"/>
              </w:rPr>
              <w:t>στην τελευταία φάση της διδασκαλίας</w:t>
            </w:r>
            <w:r w:rsidRPr="00FD7A3D">
              <w:rPr>
                <w:rStyle w:val="1"/>
                <w:rFonts w:asciiTheme="minorHAnsi" w:hAnsiTheme="minorHAnsi"/>
                <w:i/>
                <w:sz w:val="24"/>
              </w:rPr>
              <w:t xml:space="preserve"> (</w:t>
            </w:r>
            <w:r w:rsidRPr="00FD7A3D">
              <w:rPr>
                <w:rStyle w:val="1"/>
                <w:rFonts w:asciiTheme="minorHAnsi" w:hAnsiTheme="minorHAnsi"/>
                <w:i/>
                <w:sz w:val="24"/>
                <w:lang w:val="en-US"/>
              </w:rPr>
              <w:t>post</w:t>
            </w:r>
            <w:r w:rsidRPr="00FD7A3D">
              <w:rPr>
                <w:rStyle w:val="1"/>
                <w:rFonts w:asciiTheme="minorHAnsi" w:hAnsiTheme="minorHAnsi"/>
                <w:i/>
                <w:sz w:val="24"/>
              </w:rPr>
              <w:t>-</w:t>
            </w:r>
            <w:r w:rsidRPr="00FD7A3D">
              <w:rPr>
                <w:rStyle w:val="1"/>
                <w:rFonts w:asciiTheme="minorHAnsi" w:hAnsiTheme="minorHAnsi"/>
                <w:i/>
                <w:sz w:val="24"/>
                <w:lang w:val="en-US"/>
              </w:rPr>
              <w:t>test</w:t>
            </w:r>
            <w:r w:rsidRPr="00FD7A3D">
              <w:rPr>
                <w:rStyle w:val="1"/>
                <w:rFonts w:asciiTheme="minorHAnsi" w:hAnsiTheme="minorHAnsi"/>
                <w:i/>
                <w:sz w:val="24"/>
              </w:rPr>
              <w:t>)</w:t>
            </w:r>
            <w:r w:rsidRPr="00FD7A3D">
              <w:rPr>
                <w:rStyle w:val="1"/>
                <w:rFonts w:asciiTheme="minorHAnsi" w:hAnsiTheme="minorHAnsi"/>
                <w:sz w:val="24"/>
              </w:rPr>
              <w:t xml:space="preserve"> (</w:t>
            </w:r>
            <w:r w:rsidRPr="00FD7A3D">
              <w:rPr>
                <w:rStyle w:val="1"/>
                <w:rFonts w:asciiTheme="minorHAnsi" w:hAnsiTheme="minorHAnsi"/>
                <w:i/>
                <w:sz w:val="24"/>
              </w:rPr>
              <w:t>1</w:t>
            </w:r>
            <w:r w:rsidRPr="00FD7A3D">
              <w:rPr>
                <w:rStyle w:val="1"/>
                <w:rFonts w:asciiTheme="minorHAnsi" w:hAnsiTheme="minorHAnsi"/>
                <w:i/>
                <w:sz w:val="24"/>
                <w:vertAlign w:val="superscript"/>
              </w:rPr>
              <w:t>ο</w:t>
            </w:r>
            <w:r w:rsidRPr="00FD7A3D">
              <w:rPr>
                <w:rStyle w:val="1"/>
                <w:rFonts w:asciiTheme="minorHAnsi" w:hAnsiTheme="minorHAnsi"/>
                <w:i/>
                <w:sz w:val="24"/>
              </w:rPr>
              <w:t xml:space="preserve"> ερευνητικό ερώτημα</w:t>
            </w:r>
            <w:r w:rsidRPr="00FD7A3D">
              <w:rPr>
                <w:rStyle w:val="1"/>
                <w:rFonts w:asciiTheme="minorHAnsi" w:hAnsiTheme="minorHAnsi"/>
                <w:sz w:val="24"/>
              </w:rPr>
              <w:t xml:space="preserve">), φαίνεται ό,τι οι μαθητές της πειραματικής ομάδας είχαν καλύτερα μαθησιακά αποτελέσματα σε σχέση με την ομάδα ελέγχου. </w:t>
            </w:r>
            <w:r w:rsidRPr="00FD7A3D">
              <w:rPr>
                <w:rStyle w:val="1"/>
                <w:rFonts w:asciiTheme="minorHAnsi" w:hAnsiTheme="minorHAnsi"/>
                <w:sz w:val="24"/>
                <w:lang w:bidi="he-IL"/>
              </w:rPr>
              <w:t xml:space="preserve">Ωστόσο, σύμφωνα με το στατιστικό κριτήριο </w:t>
            </w:r>
            <w:r w:rsidRPr="00FD7A3D">
              <w:rPr>
                <w:rStyle w:val="1"/>
                <w:rFonts w:asciiTheme="minorHAnsi" w:hAnsiTheme="minorHAnsi"/>
                <w:sz w:val="24"/>
                <w:lang w:val="en-US" w:bidi="he-IL"/>
              </w:rPr>
              <w:t>Mann</w:t>
            </w:r>
            <w:r w:rsidRPr="00FD7A3D">
              <w:rPr>
                <w:rStyle w:val="1"/>
                <w:rFonts w:asciiTheme="minorHAnsi" w:hAnsiTheme="minorHAnsi"/>
                <w:sz w:val="24"/>
                <w:lang w:bidi="he-IL"/>
              </w:rPr>
              <w:t>-</w:t>
            </w:r>
            <w:r w:rsidRPr="00FD7A3D">
              <w:rPr>
                <w:rStyle w:val="1"/>
                <w:rFonts w:asciiTheme="minorHAnsi" w:hAnsiTheme="minorHAnsi"/>
                <w:sz w:val="24"/>
                <w:lang w:val="en-US" w:bidi="he-IL"/>
              </w:rPr>
              <w:t>Whitney</w:t>
            </w:r>
            <w:r w:rsidRPr="00FD7A3D">
              <w:rPr>
                <w:rStyle w:val="1"/>
                <w:rFonts w:asciiTheme="minorHAnsi" w:hAnsiTheme="minorHAnsi"/>
                <w:sz w:val="24"/>
                <w:lang w:bidi="he-IL"/>
              </w:rPr>
              <w:t xml:space="preserve"> που εφαρμόστηκε, δεν υπήρξε στατιστικά σημαντική διαφορά ανάμεσα στις επιδόσεις των 2 ομάδων (</w:t>
            </w:r>
            <w:r w:rsidRPr="00FD7A3D">
              <w:rPr>
                <w:rStyle w:val="1"/>
                <w:rFonts w:asciiTheme="minorHAnsi" w:hAnsiTheme="minorHAnsi"/>
                <w:i/>
                <w:sz w:val="24"/>
                <w:lang w:val="en-US" w:bidi="he-IL"/>
              </w:rPr>
              <w:t>p</w:t>
            </w:r>
            <w:r w:rsidRPr="00FD7A3D">
              <w:rPr>
                <w:rStyle w:val="1"/>
                <w:rFonts w:asciiTheme="minorHAnsi" w:hAnsiTheme="minorHAnsi"/>
                <w:i/>
                <w:sz w:val="24"/>
                <w:vertAlign w:val="subscript"/>
                <w:lang w:val="en-US" w:bidi="he-IL"/>
              </w:rPr>
              <w:t>sig</w:t>
            </w:r>
            <w:r w:rsidRPr="00FD7A3D">
              <w:rPr>
                <w:rStyle w:val="1"/>
                <w:rFonts w:asciiTheme="minorHAnsi" w:hAnsiTheme="minorHAnsi"/>
                <w:sz w:val="24"/>
                <w:lang w:bidi="he-IL"/>
              </w:rPr>
              <w:t>=0.315).</w:t>
            </w:r>
          </w:p>
          <w:p w:rsidR="00FD7A3D" w:rsidRPr="00FD7A3D" w:rsidRDefault="00FD7A3D" w:rsidP="00FD7A3D">
            <w:pPr>
              <w:pStyle w:val="10"/>
              <w:jc w:val="both"/>
              <w:rPr>
                <w:rStyle w:val="1"/>
                <w:rFonts w:asciiTheme="minorHAnsi" w:hAnsiTheme="minorHAnsi"/>
                <w:sz w:val="24"/>
                <w:lang w:bidi="he-IL"/>
              </w:rPr>
            </w:pPr>
            <w:r w:rsidRPr="00FD7A3D">
              <w:rPr>
                <w:rStyle w:val="1"/>
                <w:rFonts w:asciiTheme="minorHAnsi" w:hAnsiTheme="minorHAnsi"/>
                <w:sz w:val="24"/>
                <w:lang w:bidi="he-IL"/>
              </w:rPr>
              <w:t xml:space="preserve">Σύμφωνα με </w:t>
            </w:r>
            <w:r w:rsidRPr="00FD7A3D">
              <w:rPr>
                <w:rStyle w:val="1"/>
                <w:rFonts w:asciiTheme="minorHAnsi" w:hAnsiTheme="minorHAnsi"/>
                <w:sz w:val="24"/>
                <w:szCs w:val="18"/>
              </w:rPr>
              <w:t>τις απόψεις των μαθητών όπως αποτυπώθηκαν στο ερωτηματολόγιο της έρευνας (</w:t>
            </w:r>
            <w:r w:rsidRPr="00FD7A3D">
              <w:rPr>
                <w:rStyle w:val="1"/>
                <w:rFonts w:asciiTheme="minorHAnsi" w:hAnsiTheme="minorHAnsi"/>
                <w:i/>
                <w:sz w:val="24"/>
                <w:szCs w:val="18"/>
              </w:rPr>
              <w:t>2</w:t>
            </w:r>
            <w:r w:rsidRPr="00FD7A3D">
              <w:rPr>
                <w:rStyle w:val="1"/>
                <w:rFonts w:asciiTheme="minorHAnsi" w:hAnsiTheme="minorHAnsi"/>
                <w:i/>
                <w:sz w:val="24"/>
                <w:szCs w:val="18"/>
                <w:vertAlign w:val="superscript"/>
              </w:rPr>
              <w:t xml:space="preserve">0 </w:t>
            </w:r>
            <w:r w:rsidRPr="00FD7A3D">
              <w:rPr>
                <w:rStyle w:val="1"/>
                <w:rFonts w:asciiTheme="minorHAnsi" w:hAnsiTheme="minorHAnsi"/>
                <w:i/>
                <w:sz w:val="24"/>
                <w:szCs w:val="18"/>
              </w:rPr>
              <w:t>ερευνητικό ερώτημα</w:t>
            </w:r>
            <w:r w:rsidRPr="00FD7A3D">
              <w:rPr>
                <w:rStyle w:val="1"/>
                <w:rFonts w:asciiTheme="minorHAnsi" w:hAnsiTheme="minorHAnsi"/>
                <w:sz w:val="24"/>
                <w:szCs w:val="18"/>
              </w:rPr>
              <w:t xml:space="preserve">), </w:t>
            </w:r>
            <w:r w:rsidRPr="00FD7A3D">
              <w:rPr>
                <w:rStyle w:val="1"/>
                <w:rFonts w:asciiTheme="minorHAnsi" w:hAnsiTheme="minorHAnsi"/>
                <w:sz w:val="24"/>
                <w:lang w:bidi="he-IL"/>
              </w:rPr>
              <w:t xml:space="preserve"> </w:t>
            </w:r>
            <w:r w:rsidRPr="00FD7A3D">
              <w:rPr>
                <w:rStyle w:val="1"/>
                <w:rFonts w:asciiTheme="minorHAnsi" w:hAnsiTheme="minorHAnsi"/>
                <w:bCs/>
                <w:sz w:val="24"/>
                <w:szCs w:val="18"/>
              </w:rPr>
              <w:t xml:space="preserve">διαπιστώθηκε γενικά </w:t>
            </w:r>
            <w:r w:rsidRPr="00FD7A3D">
              <w:rPr>
                <w:rStyle w:val="1"/>
                <w:rFonts w:asciiTheme="minorHAnsi" w:hAnsiTheme="minorHAnsi"/>
                <w:bCs/>
                <w:i/>
                <w:sz w:val="24"/>
                <w:szCs w:val="18"/>
              </w:rPr>
              <w:t>θετική στάση</w:t>
            </w:r>
            <w:r w:rsidRPr="00FD7A3D">
              <w:rPr>
                <w:rStyle w:val="1"/>
                <w:rFonts w:asciiTheme="minorHAnsi" w:hAnsiTheme="minorHAnsi"/>
                <w:bCs/>
                <w:sz w:val="24"/>
                <w:szCs w:val="18"/>
              </w:rPr>
              <w:t xml:space="preserve">  απέναντι στο μοντέλο. Οι περισσότεροι μαθητές εστίασαν κυρίως στην καινοτομία της διδακτικής αυτής προσέγγισης, στο ενδιαφέρον και πολυμορφικό εκπαιδευτικό υλικό καθώς και στην ουσιαστική αξιοποίηση του διδακτικού χρόνου αφού θεώρησαν ότι οι πριν από την τάξη δραστηριότητες τους επέτρεπαν να μάθουν με το δικό τους ρυθμό. Επίσης, η πλειοψηφία των  μαθητών θεώρησε το πριν από την τάξη εκπαιδευτικό υλικό υποστηρικτικό για τη μάθησή τους καθώς και για τις δραστηριότητες μέσα στην τάξη. Επίσης, οι μισοί μαθητές δήλωσαν ότι παρακινήθηκαν να αναζητήσουν περισσότερο εκπαιδευτικό υλικό. Ωστόσο, οι μισοί μαθητές δήλωσαν ότι θα προτιμούσαν τον καθηγητή τους στο video που δόθηκε πριν την τάξη το οποίο παρουσίαζε μια διάλεξη για τους μονοδιάστατους πίνακες.</w:t>
            </w:r>
          </w:p>
          <w:p w:rsidR="00FD7A3D" w:rsidRPr="00FD7A3D" w:rsidRDefault="00FD7A3D" w:rsidP="00FD7A3D">
            <w:pPr>
              <w:jc w:val="both"/>
              <w:rPr>
                <w:rStyle w:val="1"/>
                <w:bCs/>
                <w:sz w:val="24"/>
                <w:szCs w:val="18"/>
              </w:rPr>
            </w:pPr>
            <w:r w:rsidRPr="00FD7A3D">
              <w:rPr>
                <w:rStyle w:val="1"/>
                <w:bCs/>
                <w:sz w:val="24"/>
                <w:szCs w:val="18"/>
              </w:rPr>
              <w:lastRenderedPageBreak/>
              <w:t>Όσον αφορά την αποτίμηση του υλικού μέσα στην τάξη (</w:t>
            </w:r>
            <w:r w:rsidRPr="00FD7A3D">
              <w:rPr>
                <w:rStyle w:val="1"/>
                <w:bCs/>
                <w:i/>
                <w:sz w:val="24"/>
                <w:szCs w:val="18"/>
              </w:rPr>
              <w:t>τρίτο ερευνητικό ερώτημα</w:t>
            </w:r>
            <w:r w:rsidRPr="00FD7A3D">
              <w:rPr>
                <w:rStyle w:val="1"/>
                <w:bCs/>
                <w:sz w:val="24"/>
                <w:szCs w:val="18"/>
              </w:rPr>
              <w:t xml:space="preserve">), οι περισσότεροι μαθητές δήλωσαν ότι η προσέγγιση αυτή του μαθήματος τους βοήθησε να αξιοποιήσουν ορθότερα το χρόνο τους μέσα στην τάξη. Επίσης, δήλωσαν ότι οι δραστηριότητες μέσα στην τάξη συνέβαλαν στο να κατανοήσουν καλύτερα και να εφαρμόσουν αυτά που αποκόμισαν από την εξ αποστάσεως μελέτη του εκπαιδευτικού υλικού πριν την τάξη και ενίσχυσαν την ανάπτυξη δεξιοτήτων επίλυσης προβλημάτων και συνεργασίας. Ωστόσο, μεγαλύτερος αριθμός μαθητών δηλώνει ότι οι δραστηριότητες μέσα στην τάξη δεν </w:t>
            </w:r>
            <w:r w:rsidRPr="00FD7A3D">
              <w:rPr>
                <w:color w:val="000000"/>
                <w:sz w:val="24"/>
                <w:szCs w:val="18"/>
              </w:rPr>
              <w:t>ενίσχυσαν δεξιότητες επικοινωνίας</w:t>
            </w:r>
            <w:r w:rsidRPr="00FD7A3D">
              <w:rPr>
                <w:rStyle w:val="1"/>
                <w:bCs/>
                <w:sz w:val="24"/>
                <w:szCs w:val="18"/>
              </w:rPr>
              <w:t xml:space="preserve"> ούτε την αυτοπεποίθησή τους σχετικά με το μάθημα. Ενδιαφέρουσα είναι η δήλωση μεγάλου ποσοστού μαθητών ότι θα είχαν μειωμένο ενδιαφέρον για το εκπαιδευτικό υλικό, αν η ολοκλήρωσή του δεν συνεπαγόταν βαθμό. Να σημειωθεί ότι ένα αρκετά μεγάλο ποσοστό των μαθητών επέλεξε την κλίμακα 3-"Ούτε συμφωνώ, ούτε διαφωνώ". Αυτό πιθανά αποδίδεται στο γεγονός ότι αρκετοί μαθητές δεν ήταν παρόντες σε όλες τις φάσεις της παρέμβασης, οπότε δεν κατάφεραν να αποκτήσουν ολοκληρωμένη άποψη γι’ αυτήν. </w:t>
            </w:r>
          </w:p>
          <w:p w:rsidR="00FD7A3D" w:rsidRPr="00FD7A3D" w:rsidRDefault="00FD7A3D" w:rsidP="00FD7A3D">
            <w:pPr>
              <w:jc w:val="both"/>
              <w:rPr>
                <w:rStyle w:val="1"/>
                <w:bCs/>
                <w:sz w:val="24"/>
                <w:szCs w:val="24"/>
              </w:rPr>
            </w:pPr>
            <w:r w:rsidRPr="00FD7A3D">
              <w:rPr>
                <w:rStyle w:val="1"/>
                <w:sz w:val="24"/>
                <w:szCs w:val="24"/>
              </w:rPr>
              <w:t xml:space="preserve">Ανάλυση περιεχομένου έγινε για την επεξεργασία των ανοιχτών ερωτήσεων του ερωτηματολογίου και την εξαγωγή συμπερασμάτων. </w:t>
            </w:r>
            <w:r w:rsidRPr="00FD7A3D">
              <w:rPr>
                <w:rStyle w:val="1"/>
                <w:bCs/>
                <w:sz w:val="24"/>
                <w:szCs w:val="24"/>
              </w:rPr>
              <w:t xml:space="preserve">Από τις απαντήσεις στην </w:t>
            </w:r>
            <w:r w:rsidRPr="00FD7A3D">
              <w:rPr>
                <w:rStyle w:val="1"/>
                <w:bCs/>
                <w:i/>
                <w:sz w:val="24"/>
                <w:szCs w:val="24"/>
              </w:rPr>
              <w:t>πρώτη ανοικτού τύπου ερώτηση</w:t>
            </w:r>
            <w:r w:rsidRPr="00FD7A3D">
              <w:rPr>
                <w:rStyle w:val="1"/>
                <w:bCs/>
                <w:sz w:val="24"/>
                <w:szCs w:val="24"/>
              </w:rPr>
              <w:t xml:space="preserve">, παρατηρήθηκαν θετικές γνώμες που αφορούσαν στην ανεξάρτητη μάθηση, στη χρήση του οπτικοακουστικού υλικού και στην  ομαδικότητα. Η αυτονομία και η καινοτομία ήταν στοιχεία που ανέφεραν μαθητές. Επιπλέον, δήλωσαν ότι η  ομαδική εργασία και η αλληλεπίδραση μεταξύ τους τους ενέπλεξε πιο πολύ στη διαδικασία της μάθησης και τους έδωσε περισσότερα κίνητρα. Τέσσερεις μαθητές δήλωσαν ότι η διαδικασία τους φάνηκε μη ενδιαφέρουσα. Στη </w:t>
            </w:r>
            <w:r w:rsidRPr="00FD7A3D">
              <w:rPr>
                <w:rStyle w:val="1"/>
                <w:bCs/>
                <w:i/>
                <w:sz w:val="24"/>
                <w:szCs w:val="24"/>
              </w:rPr>
              <w:t>2η ανοικτού τύπου ερώτηση</w:t>
            </w:r>
            <w:r w:rsidRPr="00FD7A3D">
              <w:rPr>
                <w:rStyle w:val="1"/>
                <w:bCs/>
                <w:sz w:val="24"/>
                <w:szCs w:val="24"/>
              </w:rPr>
              <w:t xml:space="preserve">, τρεις μαθητές ανέφεραν πως δεν αντιμετώπισαν κανένα πρόβλημα. Ωστόσο, τέσσερις άλλοι βρήκαν τη διαδικασία αγχωτική και αντιμετώπισαν δυσκολίες στο να λύσουν τις δραστηριότητες τις οποίες θεωρούσαν ένα βήμα πιο πέρα από τις πληροφορίες που δίνονταν στο video, γεγονός στο οποίο βέβαια στηρίχθηκε ο σχεδιασμός του εκπαιδευτικού υλικού και ήταν για μας το επιθυμητό. Η πρόταση αρκετών μαθητών, είναι να περιέχονται στα video περισσότερα παραδείγματα, ώστε να αφομοιώσουν καλύτερα τις πληροφορίες. Δύο από τους συμμετέχοντες ανέφεραν ότι αυτό το μοντέλο μάθησης δεν τους εξυπηρετεί καθώς δυσκολεύτηκαν να αντλήσουν πληροφορίες από τα βίντεο και να τις εφαρμόσουν στις δραστηριότητες. Από τα συγκεκριμένα σχόλια φαίνεται οι μαθητές να αναμένουν απλή εφαρμογή έτοιμης πληροφορίας. Τέσσερις επίσης μαθητές, "αντιστάθηκαν" στην "αντεστραμμένη τάξη" δηλώνοντας την προτίμησή τους για μάθηση μέσα στην τάξη και όχι πριν και έξω από αυτήν. </w:t>
            </w:r>
          </w:p>
          <w:p w:rsidR="00072A2D" w:rsidRPr="00FD7A3D" w:rsidRDefault="00FD7A3D" w:rsidP="000753B0">
            <w:pPr>
              <w:spacing w:before="60" w:after="60"/>
              <w:jc w:val="both"/>
            </w:pPr>
            <w:r w:rsidRPr="00FD7A3D">
              <w:rPr>
                <w:rStyle w:val="1"/>
                <w:bCs/>
                <w:sz w:val="24"/>
                <w:szCs w:val="24"/>
              </w:rPr>
              <w:t>Τέλος, οι διδάσκουσες παρατήρησαν ότι η διαχείριση του χρόνου στη σχολική τάξη βελτιώθηκε, δεδομένου ότι οι μαθητές δραστηριοποιούνταν κατευθείαν, ο καθένας στο δικό του ρυθμό, καθώς έβλεπαν τη μαθησιακή διαδικασία ως προσωπική τους υπόθεση που δεν εξαρτάται αποκλειστικά από τον καθηγητή. Από την "εποπτεία" του μαθήματος παρατηρήθηκε αύξηση του βαθμού εμπλοκής και ενεργητικής συμμετοχής των μαθητών στην εκπαιδευτική διαδικασία, ακόμα και αυτών που στην αρχή "αντιστέκονταν"  και διαπιστώθηκε μεγάλη προτίμηση στη χρήση της τεχνολογίας και των video καθώς και της ομαδικής εργασίας.</w:t>
            </w:r>
          </w:p>
          <w:p w:rsidR="001754CA" w:rsidRPr="00FD7A3D" w:rsidRDefault="001754CA" w:rsidP="00072A2D">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FD7A3D" w:rsidP="0047200A">
            <w:pPr>
              <w:spacing w:before="60" w:after="60"/>
            </w:pPr>
            <w:r>
              <w:t>ΝΑΙ</w:t>
            </w:r>
          </w:p>
        </w:tc>
        <w:tc>
          <w:tcPr>
            <w:tcW w:w="3544" w:type="dxa"/>
            <w:gridSpan w:val="5"/>
          </w:tcPr>
          <w:p w:rsidR="00376BAD" w:rsidRDefault="005371DD" w:rsidP="0047200A">
            <w:pPr>
              <w:spacing w:before="60" w:after="60"/>
            </w:pPr>
            <w:r>
              <w:t>ΔΙΑΜΟΡΦΩΤΙΚΗ (ΝΑΙ/ΟΧΙ)</w:t>
            </w:r>
          </w:p>
          <w:p w:rsidR="00FD7A3D" w:rsidRDefault="00FD7A3D" w:rsidP="0047200A">
            <w:pPr>
              <w:spacing w:before="60" w:after="60"/>
            </w:pPr>
          </w:p>
          <w:p w:rsidR="00FD7A3D" w:rsidRDefault="00FD7A3D" w:rsidP="0047200A">
            <w:pPr>
              <w:spacing w:before="60" w:after="60"/>
            </w:pPr>
            <w:r>
              <w:t>ΝΑΙ</w:t>
            </w:r>
          </w:p>
        </w:tc>
        <w:tc>
          <w:tcPr>
            <w:tcW w:w="1950" w:type="dxa"/>
            <w:gridSpan w:val="3"/>
          </w:tcPr>
          <w:p w:rsidR="00376BAD" w:rsidRDefault="005371DD" w:rsidP="0047200A">
            <w:pPr>
              <w:spacing w:before="60" w:after="60"/>
            </w:pPr>
            <w:r>
              <w:t>ΤΕΛΙΚΗ (ΝΑΙ/ΟΧΙ)</w:t>
            </w:r>
          </w:p>
          <w:p w:rsidR="00FD7A3D" w:rsidRDefault="00FD7A3D" w:rsidP="0047200A">
            <w:pPr>
              <w:spacing w:before="60" w:after="60"/>
            </w:pPr>
          </w:p>
          <w:p w:rsidR="00FD7A3D" w:rsidRDefault="00FD7A3D" w:rsidP="0047200A">
            <w:pPr>
              <w:spacing w:before="60" w:after="60"/>
            </w:pPr>
            <w:r>
              <w:t>ΝΑΙ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FD7A3D" w:rsidRDefault="00FD7A3D" w:rsidP="0047200A">
            <w:pPr>
              <w:spacing w:before="60" w:after="60"/>
            </w:pPr>
            <w:r>
              <w:t>(1) Δραστηριότητες για την αξιολόγηση του γνωστικού επιπέδου</w:t>
            </w:r>
          </w:p>
          <w:p w:rsidR="001754CA" w:rsidRDefault="00FD7A3D" w:rsidP="0047200A">
            <w:pPr>
              <w:spacing w:before="60" w:after="60"/>
            </w:pPr>
            <w:r>
              <w:t>(2) Ερωτηματολόγιο διερεύνησης στάσεων και απόψεων</w:t>
            </w:r>
          </w:p>
          <w:p w:rsidR="00FD7A3D" w:rsidRDefault="00FD7A3D" w:rsidP="0047200A">
            <w:pPr>
              <w:spacing w:before="60" w:after="60"/>
            </w:pPr>
            <w:r>
              <w:t>(3) Παρατήρηση κατά τη διάρκεια της εκπαιδευτικής παρέμβασης</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A"/>
    <w:rsid w:val="00016197"/>
    <w:rsid w:val="00051E3F"/>
    <w:rsid w:val="00072A2D"/>
    <w:rsid w:val="000753B0"/>
    <w:rsid w:val="000A165B"/>
    <w:rsid w:val="000A4C84"/>
    <w:rsid w:val="001754CA"/>
    <w:rsid w:val="0017583D"/>
    <w:rsid w:val="0020165F"/>
    <w:rsid w:val="00343C2F"/>
    <w:rsid w:val="0037182C"/>
    <w:rsid w:val="00376BAD"/>
    <w:rsid w:val="003D38DF"/>
    <w:rsid w:val="004058CF"/>
    <w:rsid w:val="004743AD"/>
    <w:rsid w:val="00481741"/>
    <w:rsid w:val="00485C60"/>
    <w:rsid w:val="004E1628"/>
    <w:rsid w:val="004E1CCA"/>
    <w:rsid w:val="005371DD"/>
    <w:rsid w:val="00597AD2"/>
    <w:rsid w:val="00614001"/>
    <w:rsid w:val="00662759"/>
    <w:rsid w:val="00667B67"/>
    <w:rsid w:val="006C207D"/>
    <w:rsid w:val="00810305"/>
    <w:rsid w:val="00810778"/>
    <w:rsid w:val="00815449"/>
    <w:rsid w:val="00817E6D"/>
    <w:rsid w:val="00851194"/>
    <w:rsid w:val="008865AC"/>
    <w:rsid w:val="008904B5"/>
    <w:rsid w:val="008F1FF9"/>
    <w:rsid w:val="00923F84"/>
    <w:rsid w:val="00A300AA"/>
    <w:rsid w:val="00A37506"/>
    <w:rsid w:val="00AE448C"/>
    <w:rsid w:val="00B345B1"/>
    <w:rsid w:val="00B70D3C"/>
    <w:rsid w:val="00B71817"/>
    <w:rsid w:val="00B72A34"/>
    <w:rsid w:val="00B83AC8"/>
    <w:rsid w:val="00C77F5B"/>
    <w:rsid w:val="00CE6DB9"/>
    <w:rsid w:val="00CF28A9"/>
    <w:rsid w:val="00D23CFD"/>
    <w:rsid w:val="00D45331"/>
    <w:rsid w:val="00DA33BF"/>
    <w:rsid w:val="00DD1917"/>
    <w:rsid w:val="00E743BF"/>
    <w:rsid w:val="00FA53C9"/>
    <w:rsid w:val="00FD7A3D"/>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customStyle="1" w:styleId="1">
    <w:name w:val="Προεπιλεγμένη γραμματοσειρά1"/>
    <w:qFormat/>
    <w:rsid w:val="00FD7A3D"/>
  </w:style>
  <w:style w:type="character" w:customStyle="1" w:styleId="1Char">
    <w:name w:val="Επικεφαλίδα 1 Char"/>
    <w:basedOn w:val="a0"/>
    <w:uiPriority w:val="9"/>
    <w:qFormat/>
    <w:rsid w:val="00FD7A3D"/>
    <w:rPr>
      <w:b/>
      <w:bCs/>
      <w:kern w:val="2"/>
      <w:sz w:val="48"/>
      <w:szCs w:val="48"/>
    </w:rPr>
  </w:style>
  <w:style w:type="paragraph" w:customStyle="1" w:styleId="10">
    <w:name w:val="Βασικό1"/>
    <w:qFormat/>
    <w:rsid w:val="00FD7A3D"/>
    <w:pPr>
      <w:suppressAutoHyphens/>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customStyle="1" w:styleId="1">
    <w:name w:val="Προεπιλεγμένη γραμματοσειρά1"/>
    <w:qFormat/>
    <w:rsid w:val="00FD7A3D"/>
  </w:style>
  <w:style w:type="character" w:customStyle="1" w:styleId="1Char">
    <w:name w:val="Επικεφαλίδα 1 Char"/>
    <w:basedOn w:val="a0"/>
    <w:uiPriority w:val="9"/>
    <w:qFormat/>
    <w:rsid w:val="00FD7A3D"/>
    <w:rPr>
      <w:b/>
      <w:bCs/>
      <w:kern w:val="2"/>
      <w:sz w:val="48"/>
      <w:szCs w:val="48"/>
    </w:rPr>
  </w:style>
  <w:style w:type="paragraph" w:customStyle="1" w:styleId="10">
    <w:name w:val="Βασικό1"/>
    <w:qFormat/>
    <w:rsid w:val="00FD7A3D"/>
    <w:pPr>
      <w:suppressAutoHyphens/>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ps@minedu.gov.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8449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Φιλώτας Χατζητζώτζιας</cp:lastModifiedBy>
  <cp:revision>2</cp:revision>
  <dcterms:created xsi:type="dcterms:W3CDTF">2019-11-19T13:13:00Z</dcterms:created>
  <dcterms:modified xsi:type="dcterms:W3CDTF">2019-11-19T13:13:00Z</dcterms:modified>
</cp:coreProperties>
</file>