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Default="00710EAC" w:rsidP="00072A2D">
            <w:pPr>
              <w:spacing w:before="60" w:after="60"/>
            </w:pPr>
            <w:r>
              <w:t>ΠΡΟΤΥΠΟ ΓΥΜΝΑΣΙΟ ΙΩΝΙΔΕΙΟΥ ΣΧΟΛΗΣ ΠΕΙΡΑΙΑ</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4E1CCA" w:rsidP="00072A2D">
            <w:pPr>
              <w:spacing w:before="60" w:after="60"/>
            </w:pP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Default="00157960" w:rsidP="00072A2D">
            <w:pPr>
              <w:spacing w:before="60" w:after="60"/>
              <w:rPr>
                <w:b/>
              </w:rPr>
            </w:pPr>
            <w:r w:rsidRPr="00157960">
              <w:rPr>
                <w:b/>
              </w:rPr>
              <w:t>ΘΕΑΤΡΟΠΟΛΙΣ</w:t>
            </w:r>
            <w:r>
              <w:rPr>
                <w:b/>
              </w:rPr>
              <w:t xml:space="preserve">: ΕΝΑ ΠΑΙΧΝΙΔΙ ΓΙΑ ΤΑ ΑΡΧΑΙΑ ΘΕΑΤΡΑ </w:t>
            </w:r>
          </w:p>
          <w:p w:rsidR="00157960" w:rsidRPr="00157960" w:rsidRDefault="00157960" w:rsidP="00072A2D">
            <w:pPr>
              <w:spacing w:before="60" w:after="60"/>
              <w:rPr>
                <w:b/>
              </w:rPr>
            </w:pPr>
            <w:r>
              <w:rPr>
                <w:b/>
              </w:rPr>
              <w:t>ΚΑΙ ΩΔΕΙΑ ΤΗΣ ΕΛΛΑΔΑΣ</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Pr="00157960" w:rsidRDefault="00F564A4" w:rsidP="00072A2D">
            <w:pPr>
              <w:spacing w:before="60" w:after="60"/>
              <w:rPr>
                <w:b/>
              </w:rPr>
            </w:pPr>
            <w:r w:rsidRPr="00157960">
              <w:rPr>
                <w:b/>
              </w:rPr>
              <w:t>ΣΧΟΛΙΚΑ ΕΤΗ: 2017-19</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Pr="001F7AFE" w:rsidRDefault="00157960" w:rsidP="00157960">
            <w:pPr>
              <w:spacing w:before="60" w:after="60"/>
              <w:rPr>
                <w:b/>
              </w:rPr>
            </w:pPr>
            <w:r w:rsidRPr="001F7AFE">
              <w:rPr>
                <w:b/>
              </w:rPr>
              <w:t>ΠΑΡΑΡΑΣ ΙΩΑΝΝΗΣ</w:t>
            </w:r>
            <w:r w:rsidR="00F564A4" w:rsidRPr="001F7AFE">
              <w:rPr>
                <w:b/>
              </w:rPr>
              <w:t xml:space="preserve"> - ΜΑΚΡΗ ΕΥΑΓΓΕΛΙΑ</w:t>
            </w:r>
          </w:p>
        </w:tc>
        <w:tc>
          <w:tcPr>
            <w:tcW w:w="1382" w:type="dxa"/>
            <w:gridSpan w:val="2"/>
          </w:tcPr>
          <w:p w:rsidR="004E1CCA" w:rsidRDefault="004E1CCA" w:rsidP="00072A2D">
            <w:pPr>
              <w:spacing w:before="60" w:after="60"/>
            </w:pPr>
            <w:r>
              <w:t>ΕΙΔΙΚΟΤΗΤΑ:</w:t>
            </w:r>
          </w:p>
        </w:tc>
        <w:tc>
          <w:tcPr>
            <w:tcW w:w="2092" w:type="dxa"/>
            <w:gridSpan w:val="4"/>
          </w:tcPr>
          <w:p w:rsidR="004E1CCA" w:rsidRPr="001F7AFE" w:rsidRDefault="00F564A4" w:rsidP="00072A2D">
            <w:pPr>
              <w:spacing w:before="60" w:after="60"/>
              <w:rPr>
                <w:b/>
              </w:rPr>
            </w:pPr>
            <w:r w:rsidRPr="001F7AFE">
              <w:rPr>
                <w:b/>
              </w:rPr>
              <w:t>ΠΕ02</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F564A4" w:rsidP="00072A2D">
            <w:pPr>
              <w:spacing w:before="60" w:after="60"/>
            </w:pPr>
            <w:r>
              <w:t>ΣΧΟΛΙΚΑ ΕΤΗ 2017-19</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072A2D" w:rsidP="00072A2D">
            <w:pPr>
              <w:spacing w:before="60" w:after="60"/>
            </w:pP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F564A4" w:rsidP="00072A2D">
            <w:pPr>
              <w:spacing w:before="60" w:after="60"/>
            </w:pPr>
            <w:r>
              <w:t>2</w:t>
            </w:r>
          </w:p>
        </w:tc>
        <w:tc>
          <w:tcPr>
            <w:tcW w:w="1397" w:type="dxa"/>
            <w:gridSpan w:val="2"/>
          </w:tcPr>
          <w:p w:rsidR="00072A2D" w:rsidRDefault="00072A2D" w:rsidP="00072A2D">
            <w:pPr>
              <w:spacing w:before="60" w:after="60"/>
            </w:pPr>
            <w:r>
              <w:t>ΜΑΘΗΤΩΝ:</w:t>
            </w:r>
          </w:p>
          <w:p w:rsidR="001F7AFE" w:rsidRDefault="001F7AFE" w:rsidP="00072A2D">
            <w:pPr>
              <w:spacing w:before="60" w:after="60"/>
            </w:pPr>
          </w:p>
          <w:p w:rsidR="001F7AFE" w:rsidRDefault="001F7AFE" w:rsidP="00072A2D">
            <w:pPr>
              <w:spacing w:before="60" w:after="60"/>
            </w:pPr>
            <w:r>
              <w:t>36</w:t>
            </w:r>
          </w:p>
        </w:tc>
        <w:tc>
          <w:tcPr>
            <w:tcW w:w="1155" w:type="dxa"/>
            <w:gridSpan w:val="2"/>
          </w:tcPr>
          <w:p w:rsidR="00072A2D" w:rsidRDefault="00072A2D" w:rsidP="00072A2D">
            <w:pPr>
              <w:spacing w:before="60" w:after="60"/>
            </w:pP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1F7AFE" w:rsidP="00072A2D">
            <w:pPr>
              <w:spacing w:before="60" w:after="60"/>
            </w:pPr>
            <w:r>
              <w:t>ΚΙΝΗΣΗ ΠΟΛΙΤΩΝ:</w:t>
            </w:r>
            <w:r w:rsidR="00F564A4" w:rsidRPr="001F7AFE">
              <w:rPr>
                <w:b/>
              </w:rPr>
              <w:t>ΔΙΑΖΩΜΑ</w:t>
            </w: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900A82" w:rsidRDefault="00900A82" w:rsidP="00900A82">
            <w:r>
              <w:t>ΓΕΝΙΚΟΤΕΡΟΙ ΣΤΟΧΟΙ</w:t>
            </w:r>
          </w:p>
          <w:p w:rsidR="00900A82" w:rsidRDefault="00900A82" w:rsidP="00900A82">
            <w:pPr>
              <w:numPr>
                <w:ilvl w:val="0"/>
                <w:numId w:val="3"/>
              </w:numPr>
            </w:pPr>
            <w:r w:rsidRPr="00D84E4E">
              <w:t>Η αξιοποίηση του πολιτιστικού κεφαλαίου των μαθητών</w:t>
            </w:r>
          </w:p>
          <w:p w:rsidR="00900A82" w:rsidRPr="00D84E4E" w:rsidRDefault="00900A82" w:rsidP="00900A82">
            <w:pPr>
              <w:numPr>
                <w:ilvl w:val="0"/>
                <w:numId w:val="3"/>
              </w:numPr>
            </w:pPr>
            <w:r>
              <w:t>Η εξοικείωση των μαθητών με το ιστορικό παρελθόν και τα μνημεία του</w:t>
            </w:r>
          </w:p>
          <w:p w:rsidR="00900A82" w:rsidRPr="00D84E4E" w:rsidRDefault="00900A82" w:rsidP="00900A82">
            <w:pPr>
              <w:numPr>
                <w:ilvl w:val="0"/>
                <w:numId w:val="3"/>
              </w:numPr>
            </w:pPr>
            <w:r>
              <w:t>Η δημιουργική επαφή και αξιοποίηση των στοιχείων που συγκροτούν την πολιτιστική ταυτότητα του Αρχαίου Θεάτρου</w:t>
            </w:r>
          </w:p>
          <w:p w:rsidR="00900A82" w:rsidRDefault="00900A82" w:rsidP="00900A82">
            <w:pPr>
              <w:numPr>
                <w:ilvl w:val="0"/>
                <w:numId w:val="3"/>
              </w:numPr>
            </w:pPr>
            <w:r>
              <w:t xml:space="preserve">Η καλλιέργεια θετικών στάσεων και συμπεριφορών και η ευαισθητοποίηση για την προβολή και προστασία των αρχαίων χώρων θέασης και ακρόασης </w:t>
            </w:r>
          </w:p>
          <w:p w:rsidR="00900A82" w:rsidRDefault="00900A82" w:rsidP="00900A82">
            <w:pPr>
              <w:numPr>
                <w:ilvl w:val="0"/>
                <w:numId w:val="3"/>
              </w:numPr>
            </w:pPr>
            <w:r>
              <w:t>Η καλλιέργεια της φαντασίας και της δημιουργικότητας των μαθητών</w:t>
            </w:r>
          </w:p>
          <w:p w:rsidR="00900A82" w:rsidRDefault="00900A82" w:rsidP="00900A82">
            <w:pPr>
              <w:numPr>
                <w:ilvl w:val="0"/>
                <w:numId w:val="3"/>
              </w:numPr>
            </w:pPr>
            <w:r>
              <w:t>Η ανάπτυξη πνεύματος συνεργασίας και ομαδικότητας</w:t>
            </w:r>
          </w:p>
          <w:p w:rsidR="00900A82" w:rsidRDefault="00900A82" w:rsidP="00900A82">
            <w:pPr>
              <w:numPr>
                <w:ilvl w:val="0"/>
                <w:numId w:val="3"/>
              </w:numPr>
            </w:pPr>
          </w:p>
          <w:p w:rsidR="00900A82" w:rsidRDefault="00900A82" w:rsidP="00900A82">
            <w:r>
              <w:t>ΕΙΔΙΚΟΣ ΣΤΟΧΟΣ</w:t>
            </w:r>
          </w:p>
          <w:p w:rsidR="00900A82" w:rsidRDefault="00900A82" w:rsidP="00900A82">
            <w:r>
              <w:t>Η κατασκευή επιτραπέζιου παιχνιδιού για την γνωριμία των μαθητών με τα αρχαία θέατρα και ωδεία της Ελλάδας</w:t>
            </w:r>
          </w:p>
          <w:p w:rsidR="00900A82" w:rsidRPr="00E23017" w:rsidRDefault="00900A82" w:rsidP="00900A82"/>
          <w:p w:rsidR="00072A2D" w:rsidRDefault="00072A2D" w:rsidP="00072A2D">
            <w:pPr>
              <w:spacing w:before="60" w:after="60"/>
            </w:pP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815449" w:rsidRDefault="00900A82" w:rsidP="00072A2D">
            <w:pPr>
              <w:spacing w:before="60" w:after="60"/>
            </w:pPr>
            <w:r>
              <w:t>Κατά τα σχολικά έτη 2017-8 και 2018-19</w:t>
            </w:r>
            <w:r w:rsidR="004D1F20">
              <w:t xml:space="preserve">, </w:t>
            </w:r>
            <w:r>
              <w:t xml:space="preserve"> οι υπεύθυνοι καθηγητές της δράσης μαζί με  μαθητές  και</w:t>
            </w:r>
            <w:r w:rsidR="004D1F20">
              <w:t>,</w:t>
            </w:r>
            <w:r w:rsidR="00620618">
              <w:t xml:space="preserve"> σε συνεργασία με την Κίνηση Πολιτών </w:t>
            </w:r>
            <w:r>
              <w:t xml:space="preserve"> Διάζωμα</w:t>
            </w:r>
            <w:r w:rsidR="004D1F20">
              <w:t xml:space="preserve">, </w:t>
            </w:r>
            <w:r>
              <w:t xml:space="preserve"> μελέτησαν το πλούσιο υλικό που </w:t>
            </w:r>
            <w:r w:rsidR="004D1F20">
              <w:t>παρείχε στο σχολείο το σωματείο Δ</w:t>
            </w:r>
            <w:r>
              <w:t xml:space="preserve">ιάζωμα για τα αρχαία θέατρα και ωδεία της </w:t>
            </w:r>
            <w:r w:rsidR="004D1F20">
              <w:t>Ελλάδα και  σ</w:t>
            </w:r>
            <w:r>
              <w:t xml:space="preserve">τη συνέχεια, σχεδίασαν τη δομή και τους κανόνες του </w:t>
            </w:r>
            <w:r w:rsidRPr="00620618">
              <w:rPr>
                <w:b/>
              </w:rPr>
              <w:t xml:space="preserve">επιτραπέζιου παιχνιδιού </w:t>
            </w:r>
            <w:proofErr w:type="spellStart"/>
            <w:r w:rsidRPr="00620618">
              <w:rPr>
                <w:b/>
              </w:rPr>
              <w:t>Θεατρόπολις</w:t>
            </w:r>
            <w:proofErr w:type="spellEnd"/>
            <w:r w:rsidR="00620618">
              <w:t xml:space="preserve"> και </w:t>
            </w:r>
            <w:r>
              <w:t xml:space="preserve"> συνέταξαν ερωτήσεις  διαφόρων κατηγοριών, με στόχο τον εμπλουτισμό των γνώσεων των παικτών του παιχνιδιού, σχετικά με τα αρχαία θέατρα και ωδεία της χώρας μας. </w:t>
            </w:r>
          </w:p>
          <w:p w:rsidR="00815449" w:rsidRDefault="00815449" w:rsidP="00072A2D">
            <w:pPr>
              <w:spacing w:before="60" w:after="60"/>
            </w:pPr>
          </w:p>
        </w:tc>
      </w:tr>
      <w:tr w:rsidR="00072A2D" w:rsidTr="00072A2D">
        <w:tc>
          <w:tcPr>
            <w:tcW w:w="10422" w:type="dxa"/>
            <w:gridSpan w:val="19"/>
          </w:tcPr>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tc>
      </w:tr>
      <w:tr w:rsidR="00072A2D" w:rsidTr="00072A2D">
        <w:tc>
          <w:tcPr>
            <w:tcW w:w="10422" w:type="dxa"/>
            <w:gridSpan w:val="19"/>
          </w:tcPr>
          <w:p w:rsidR="00072A2D" w:rsidRDefault="00072A2D" w:rsidP="00FA53C9">
            <w:pPr>
              <w:spacing w:before="60" w:after="60"/>
            </w:pPr>
            <w:r>
              <w:lastRenderedPageBreak/>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900A82" w:rsidRPr="00486238" w:rsidRDefault="00900A82" w:rsidP="00900A82">
            <w:pPr>
              <w:rPr>
                <w:b/>
              </w:rPr>
            </w:pPr>
            <w:r w:rsidRPr="00486238">
              <w:rPr>
                <w:b/>
              </w:rPr>
              <w:t>ΕΠΙΤΡΑΠΕΖΙΟ ΠΑΙΧΝΙΔΙ «ΘΕΑΤΡΟΠΟΛΙΣ»</w:t>
            </w:r>
          </w:p>
          <w:p w:rsidR="00900A82" w:rsidRPr="00900A82" w:rsidRDefault="00900A82" w:rsidP="00900A82"/>
          <w:p w:rsidR="00900A82" w:rsidRPr="00900A82" w:rsidRDefault="00900A82" w:rsidP="00900A82">
            <w:pPr>
              <w:ind w:firstLine="720"/>
            </w:pPr>
            <w:r w:rsidRPr="00900A82">
              <w:t>Πρόκειται για  ένα επιτραπέζιο παιχνίδι  γνώσεων που  ελέγχει και εμπλουτίζει,  όσο  παίζουν οι παίκτες,  τις γνώσεις τους για τα αρχαία θέατρα και ωδεία της Ελλάδας.</w:t>
            </w:r>
          </w:p>
          <w:p w:rsidR="00900A82" w:rsidRPr="00900A82" w:rsidRDefault="00900A82" w:rsidP="00900A82">
            <w:r w:rsidRPr="00900A82">
              <w:t xml:space="preserve">Αξιοποιεί το πλούσιο  πληροφοριακό υλικό που προσφέρει το «Διάζωμα» στην ιστοσελίδα του αλλά και συμπληρωματικό υλικό από ποικίλες αξιόπιστες πηγές, με τη μορφή ερωτήσεων. Συγχρόνως, προσφέρει ένα εγχειρίδιο  αναφοράς, που περιλαμβάνει οργανωμένο  και με φωτογραφίες όλο αυτό το υλικό. </w:t>
            </w:r>
          </w:p>
          <w:p w:rsidR="00900A82" w:rsidRPr="00900A82" w:rsidRDefault="00900A82" w:rsidP="00900A82">
            <w:pPr>
              <w:ind w:firstLine="720"/>
            </w:pPr>
            <w:r w:rsidRPr="00900A82">
              <w:t>Η πλοκή του είναι η κλασική πλοκή ενός παιχνιδιού γνώσεων. Οι παίκτες ή οι ομάδες παικτών ξεκινούν από την αφετηρία,  και πρέπει να διανύσουν  μια διαδρομή, ρίχνοντας το ζάρι,  για να φτάσουν στον τερματισμό πρώτοι. Σε κάθε τετραγωνάκι που σταματούν πρέπει να απαντούν σε μια ερώτηση σχετική με τα θέατρα και τα ωδεία της Ελλάδας, για να μπορούν να συνεχίσουν.</w:t>
            </w:r>
          </w:p>
          <w:p w:rsidR="00900A82" w:rsidRPr="00900A82" w:rsidRDefault="00900A82" w:rsidP="00900A82">
            <w:pPr>
              <w:ind w:firstLine="720"/>
            </w:pPr>
            <w:r w:rsidRPr="00900A82">
              <w:t xml:space="preserve">Το ταμπλό του απεικονίζει σχεδιαστικά ένα αρχαίο θέατρο. Οι παίκτες  ξεκινούν από το τελευταίο εδώλιο δεξιά του άνω διαζώματος και κινούνται στα εδώλια του θεάτρου. Στόχος τους είναι, απαντώντας στις ερωτήσεις, να διασχίσουν όλο το άνω και κάτω διάζωμα και να τερματίσουν πρώτοι στο κέντρο της ορχήστρας στη θυμέλη, το βωμό του Διονύσου. </w:t>
            </w:r>
          </w:p>
          <w:p w:rsidR="00900A82" w:rsidRPr="00900A82" w:rsidRDefault="00900A82" w:rsidP="00900A82">
            <w:pPr>
              <w:ind w:firstLine="720"/>
            </w:pPr>
            <w:r w:rsidRPr="00900A82">
              <w:t xml:space="preserve">Τα εδώλια έχουν διαφορετικά χρώματα, γιατί αντιστοιχούν σε διαφορετικού τύπου ερωτήσεις, διαβαθμισμένης δυσκολίας. Ξεκινάμε από ερωτήσεις βασικών γνώσεων για τα αρχαία θέατρα (πράσινες κάρτες και εδώλια), συνεχίζουμε με ερωτήσεις για τα αρχαία θέατρα της Ελλάδας  (πορτοκαλί κάρτες και εδώλια) ή για τα ωδεία της Ελλάδας (κόκκινες κάρτες και εδώλια) και καταλήγουμε στις πιο δύσκολες  (μπλε κάρτες και εδώλια), που απαιτούν αναγνώριση εικόνων, συγκεκριμένα οι παίκτες καλούνται να αναγνωρίσουν εικόνες αρχαίων θεάτρων και να πουν ποια είναι. Τα πιόνια του παιχνιδιού είναι  μικροί χορηγικοί τρίποδες διαφορετικών χρωμάτων. </w:t>
            </w:r>
          </w:p>
          <w:p w:rsidR="00900A82" w:rsidRPr="00900A82" w:rsidRDefault="00900A82" w:rsidP="000C28D4">
            <w:pPr>
              <w:ind w:firstLine="720"/>
            </w:pPr>
            <w:r w:rsidRPr="00900A82">
              <w:t>Το περιβάλλον του παιχνιδιού προσομοιώνει το αρχαίο θέατρο, έτσι ώστε να προσφέρει μια πλήρη παιδευτική εμπειρία για το αρχαίο θέατρο.Συνοδεύεται από φυλλάδιο με πλούσιο πληροφοριακό υλικό και εικόνες για όλα τα σωζόμενα αρχαία θέατρα και ωδεία στην Ελλάδα</w:t>
            </w:r>
          </w:p>
          <w:p w:rsidR="00072A2D" w:rsidRDefault="00072A2D" w:rsidP="00072A2D">
            <w:pPr>
              <w:spacing w:before="60" w:after="60"/>
            </w:pPr>
          </w:p>
          <w:p w:rsidR="00900A82" w:rsidRDefault="00900A82" w:rsidP="00072A2D">
            <w:pPr>
              <w:spacing w:before="60" w:after="60"/>
            </w:pPr>
          </w:p>
          <w:p w:rsidR="00072A2D" w:rsidRDefault="00072A2D" w:rsidP="00072A2D">
            <w:pPr>
              <w:spacing w:before="60" w:after="60"/>
            </w:pPr>
          </w:p>
          <w:p w:rsidR="00072A2D" w:rsidRDefault="00072A2D" w:rsidP="00072A2D">
            <w:pPr>
              <w:spacing w:before="60" w:after="60"/>
            </w:pP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1754CA" w:rsidP="0047200A">
            <w:pPr>
              <w:spacing w:before="60" w:after="60"/>
            </w:pP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tc>
        <w:tc>
          <w:tcPr>
            <w:tcW w:w="1950" w:type="dxa"/>
            <w:gridSpan w:val="3"/>
          </w:tcPr>
          <w:p w:rsidR="00376BAD" w:rsidRDefault="005371DD" w:rsidP="0047200A">
            <w:pPr>
              <w:spacing w:before="60" w:after="60"/>
            </w:pPr>
            <w:r>
              <w:t>ΤΕΛΙΚΗ (ΝΑΙ/ΟΧΙ)</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1754CA" w:rsidRDefault="001754CA" w:rsidP="0047200A">
            <w:pPr>
              <w:spacing w:before="60" w:after="60"/>
            </w:pP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335961" w:rsidRDefault="00335961" w:rsidP="00335961">
            <w:pPr>
              <w:rPr>
                <w:b/>
              </w:rPr>
            </w:pPr>
            <w:r>
              <w:rPr>
                <w:b/>
              </w:rPr>
              <w:t>4</w:t>
            </w:r>
            <w:r w:rsidRPr="00C35DD9">
              <w:rPr>
                <w:b/>
                <w:vertAlign w:val="superscript"/>
              </w:rPr>
              <w:t>η</w:t>
            </w:r>
            <w:r>
              <w:rPr>
                <w:b/>
              </w:rPr>
              <w:t xml:space="preserve"> ΔΙΕΘΝΗΣ ΣΥΝΑΝΤΗΣΗ ΑΝΩ ΔΙΑΖΩΜΑΤΟΣ, 10/6/2018, ΠΑΡΟΥΣΙΑΣΗ ΚΑΙ ΒΡΑΒΕΥΣΗ ΤΟΥ ΣΧΟΛΕΙΟΥ ΓΙΑ ΤΗ ΣΥΓΚΕΚΡΙΜΕΝΗ ΔΡΑΣΗ.</w:t>
            </w:r>
          </w:p>
          <w:p w:rsidR="00335961" w:rsidRDefault="00335961" w:rsidP="00335961">
            <w:pPr>
              <w:rPr>
                <w:b/>
                <w:u w:val="single"/>
                <w:lang w:val="en-US"/>
              </w:rPr>
            </w:pPr>
            <w:r>
              <w:rPr>
                <w:b/>
                <w:lang w:val="en-US"/>
              </w:rPr>
              <w:t xml:space="preserve">YOUTUBE: </w:t>
            </w:r>
            <w:hyperlink r:id="rId5" w:history="1">
              <w:r w:rsidRPr="009957F7">
                <w:rPr>
                  <w:rStyle w:val="-"/>
                  <w:b/>
                  <w:lang w:val="en-US"/>
                </w:rPr>
                <w:t>https://www.youtube.com/watch?v=gTTgndtFNbg</w:t>
              </w:r>
            </w:hyperlink>
          </w:p>
          <w:p w:rsidR="00072A2D" w:rsidRDefault="00335961" w:rsidP="00335961">
            <w:pPr>
              <w:spacing w:before="60" w:after="60"/>
            </w:pPr>
            <w:r>
              <w:rPr>
                <w:b/>
                <w:u w:val="single"/>
                <w:lang w:val="en-US"/>
              </w:rPr>
              <w:t>(</w:t>
            </w:r>
            <w:r>
              <w:rPr>
                <w:b/>
                <w:u w:val="single"/>
              </w:rPr>
              <w:t>ΤΕΛΕΤΗ ΒΡΑΒΕΥΣΗΣ  ΔΡΑΣΗΣ, 1¨17’)</w:t>
            </w:r>
          </w:p>
        </w:tc>
      </w:tr>
    </w:tbl>
    <w:p w:rsidR="004E1CCA" w:rsidRDefault="004E1CCA"/>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Pr="003468DD" w:rsidRDefault="008F1FF9" w:rsidP="00D45331">
            <w:pPr>
              <w:pStyle w:val="a4"/>
              <w:numPr>
                <w:ilvl w:val="0"/>
                <w:numId w:val="1"/>
              </w:numPr>
              <w:spacing w:before="120" w:after="120" w:line="360" w:lineRule="auto"/>
              <w:ind w:left="426" w:hanging="284"/>
              <w:rPr>
                <w:b/>
              </w:rPr>
            </w:pPr>
            <w:r w:rsidRPr="003468DD">
              <w:rPr>
                <w:b/>
              </w:rPr>
              <w:lastRenderedPageBreak/>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bookmarkStart w:id="0" w:name="_GoBack"/>
            <w:bookmarkEnd w:id="0"/>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Pr="003468DD" w:rsidRDefault="008F1FF9" w:rsidP="008F1FF9">
            <w:pPr>
              <w:pStyle w:val="a4"/>
              <w:numPr>
                <w:ilvl w:val="0"/>
                <w:numId w:val="1"/>
              </w:numPr>
              <w:spacing w:before="120" w:after="120" w:line="360" w:lineRule="auto"/>
              <w:ind w:left="426" w:hanging="284"/>
              <w:rPr>
                <w:b/>
              </w:rPr>
            </w:pPr>
            <w:r w:rsidRPr="003468DD">
              <w:rPr>
                <w:b/>
              </w:rPr>
              <w:t>Ανάπτυξη και τεκμηρίωση νέου  Εκπαιδευτικού Υλικού</w:t>
            </w:r>
          </w:p>
          <w:p w:rsidR="00C77F5B" w:rsidRPr="003468DD" w:rsidRDefault="00C77F5B" w:rsidP="008F1FF9">
            <w:pPr>
              <w:pStyle w:val="a4"/>
              <w:numPr>
                <w:ilvl w:val="0"/>
                <w:numId w:val="1"/>
              </w:numPr>
              <w:spacing w:before="120" w:after="120" w:line="360" w:lineRule="auto"/>
              <w:ind w:left="426" w:hanging="284"/>
              <w:rPr>
                <w:b/>
              </w:rPr>
            </w:pPr>
            <w:r w:rsidRPr="003468DD">
              <w:rPr>
                <w:b/>
              </w:rP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92818DE"/>
    <w:multiLevelType w:val="hybridMultilevel"/>
    <w:tmpl w:val="AA38C46E"/>
    <w:lvl w:ilvl="0" w:tplc="04080001">
      <w:start w:val="1"/>
      <w:numFmt w:val="bullet"/>
      <w:lvlText w:val=""/>
      <w:lvlJc w:val="left"/>
      <w:pPr>
        <w:tabs>
          <w:tab w:val="num" w:pos="1455"/>
        </w:tabs>
        <w:ind w:left="1455" w:hanging="360"/>
      </w:pPr>
      <w:rPr>
        <w:rFonts w:ascii="Symbol" w:hAnsi="Symbol" w:hint="default"/>
      </w:rPr>
    </w:lvl>
    <w:lvl w:ilvl="1" w:tplc="04080003" w:tentative="1">
      <w:start w:val="1"/>
      <w:numFmt w:val="bullet"/>
      <w:lvlText w:val="o"/>
      <w:lvlJc w:val="left"/>
      <w:pPr>
        <w:tabs>
          <w:tab w:val="num" w:pos="2175"/>
        </w:tabs>
        <w:ind w:left="2175" w:hanging="360"/>
      </w:pPr>
      <w:rPr>
        <w:rFonts w:ascii="Courier New" w:hAnsi="Courier New" w:cs="Courier New" w:hint="default"/>
      </w:rPr>
    </w:lvl>
    <w:lvl w:ilvl="2" w:tplc="04080005" w:tentative="1">
      <w:start w:val="1"/>
      <w:numFmt w:val="bullet"/>
      <w:lvlText w:val=""/>
      <w:lvlJc w:val="left"/>
      <w:pPr>
        <w:tabs>
          <w:tab w:val="num" w:pos="2895"/>
        </w:tabs>
        <w:ind w:left="2895" w:hanging="360"/>
      </w:pPr>
      <w:rPr>
        <w:rFonts w:ascii="Wingdings" w:hAnsi="Wingdings" w:hint="default"/>
      </w:rPr>
    </w:lvl>
    <w:lvl w:ilvl="3" w:tplc="04080001" w:tentative="1">
      <w:start w:val="1"/>
      <w:numFmt w:val="bullet"/>
      <w:lvlText w:val=""/>
      <w:lvlJc w:val="left"/>
      <w:pPr>
        <w:tabs>
          <w:tab w:val="num" w:pos="3615"/>
        </w:tabs>
        <w:ind w:left="3615" w:hanging="360"/>
      </w:pPr>
      <w:rPr>
        <w:rFonts w:ascii="Symbol" w:hAnsi="Symbol" w:hint="default"/>
      </w:rPr>
    </w:lvl>
    <w:lvl w:ilvl="4" w:tplc="04080003" w:tentative="1">
      <w:start w:val="1"/>
      <w:numFmt w:val="bullet"/>
      <w:lvlText w:val="o"/>
      <w:lvlJc w:val="left"/>
      <w:pPr>
        <w:tabs>
          <w:tab w:val="num" w:pos="4335"/>
        </w:tabs>
        <w:ind w:left="4335" w:hanging="360"/>
      </w:pPr>
      <w:rPr>
        <w:rFonts w:ascii="Courier New" w:hAnsi="Courier New" w:cs="Courier New" w:hint="default"/>
      </w:rPr>
    </w:lvl>
    <w:lvl w:ilvl="5" w:tplc="04080005" w:tentative="1">
      <w:start w:val="1"/>
      <w:numFmt w:val="bullet"/>
      <w:lvlText w:val=""/>
      <w:lvlJc w:val="left"/>
      <w:pPr>
        <w:tabs>
          <w:tab w:val="num" w:pos="5055"/>
        </w:tabs>
        <w:ind w:left="5055" w:hanging="360"/>
      </w:pPr>
      <w:rPr>
        <w:rFonts w:ascii="Wingdings" w:hAnsi="Wingdings" w:hint="default"/>
      </w:rPr>
    </w:lvl>
    <w:lvl w:ilvl="6" w:tplc="04080001" w:tentative="1">
      <w:start w:val="1"/>
      <w:numFmt w:val="bullet"/>
      <w:lvlText w:val=""/>
      <w:lvlJc w:val="left"/>
      <w:pPr>
        <w:tabs>
          <w:tab w:val="num" w:pos="5775"/>
        </w:tabs>
        <w:ind w:left="5775" w:hanging="360"/>
      </w:pPr>
      <w:rPr>
        <w:rFonts w:ascii="Symbol" w:hAnsi="Symbol" w:hint="default"/>
      </w:rPr>
    </w:lvl>
    <w:lvl w:ilvl="7" w:tplc="04080003" w:tentative="1">
      <w:start w:val="1"/>
      <w:numFmt w:val="bullet"/>
      <w:lvlText w:val="o"/>
      <w:lvlJc w:val="left"/>
      <w:pPr>
        <w:tabs>
          <w:tab w:val="num" w:pos="6495"/>
        </w:tabs>
        <w:ind w:left="6495" w:hanging="360"/>
      </w:pPr>
      <w:rPr>
        <w:rFonts w:ascii="Courier New" w:hAnsi="Courier New" w:cs="Courier New" w:hint="default"/>
      </w:rPr>
    </w:lvl>
    <w:lvl w:ilvl="8" w:tplc="04080005" w:tentative="1">
      <w:start w:val="1"/>
      <w:numFmt w:val="bullet"/>
      <w:lvlText w:val=""/>
      <w:lvlJc w:val="left"/>
      <w:pPr>
        <w:tabs>
          <w:tab w:val="num" w:pos="7215"/>
        </w:tabs>
        <w:ind w:left="7215" w:hanging="360"/>
      </w:pPr>
      <w:rPr>
        <w:rFonts w:ascii="Wingdings" w:hAnsi="Wingdings" w:hint="default"/>
      </w:rPr>
    </w:lvl>
  </w:abstractNum>
  <w:abstractNum w:abstractNumId="2">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1CCA"/>
    <w:rsid w:val="00016197"/>
    <w:rsid w:val="00072A2D"/>
    <w:rsid w:val="000A4C84"/>
    <w:rsid w:val="000C28D4"/>
    <w:rsid w:val="00157960"/>
    <w:rsid w:val="001754CA"/>
    <w:rsid w:val="0017583D"/>
    <w:rsid w:val="001F7AFE"/>
    <w:rsid w:val="0020165F"/>
    <w:rsid w:val="00335961"/>
    <w:rsid w:val="00343C2F"/>
    <w:rsid w:val="003468DD"/>
    <w:rsid w:val="0037182C"/>
    <w:rsid w:val="00376BAD"/>
    <w:rsid w:val="00460C74"/>
    <w:rsid w:val="00485C60"/>
    <w:rsid w:val="00486238"/>
    <w:rsid w:val="004D1F20"/>
    <w:rsid w:val="004E1628"/>
    <w:rsid w:val="004E1CCA"/>
    <w:rsid w:val="005371DD"/>
    <w:rsid w:val="00592E1F"/>
    <w:rsid w:val="00597AD2"/>
    <w:rsid w:val="005C0145"/>
    <w:rsid w:val="00614001"/>
    <w:rsid w:val="00620618"/>
    <w:rsid w:val="00710EAC"/>
    <w:rsid w:val="00810305"/>
    <w:rsid w:val="00810778"/>
    <w:rsid w:val="00815449"/>
    <w:rsid w:val="00817E6D"/>
    <w:rsid w:val="00851194"/>
    <w:rsid w:val="008865AC"/>
    <w:rsid w:val="008F1FF9"/>
    <w:rsid w:val="00900A82"/>
    <w:rsid w:val="00923F84"/>
    <w:rsid w:val="00934D58"/>
    <w:rsid w:val="00A37506"/>
    <w:rsid w:val="00AE448C"/>
    <w:rsid w:val="00B345B1"/>
    <w:rsid w:val="00B71817"/>
    <w:rsid w:val="00B72A34"/>
    <w:rsid w:val="00C77F5B"/>
    <w:rsid w:val="00CF28A9"/>
    <w:rsid w:val="00D23CFD"/>
    <w:rsid w:val="00D45331"/>
    <w:rsid w:val="00DE35F4"/>
    <w:rsid w:val="00EC61B5"/>
    <w:rsid w:val="00F564A4"/>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TTgndtFNb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4139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4</cp:revision>
  <dcterms:created xsi:type="dcterms:W3CDTF">2019-11-03T15:02:00Z</dcterms:created>
  <dcterms:modified xsi:type="dcterms:W3CDTF">2019-11-11T08:17:00Z</dcterms:modified>
</cp:coreProperties>
</file>